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536" w:rsidRDefault="00391536" w:rsidP="00391536">
      <w:pPr>
        <w:spacing w:after="1" w:line="240" w:lineRule="atLeast"/>
        <w:outlineLvl w:val="0"/>
      </w:pPr>
    </w:p>
    <w:p w:rsidR="00391536" w:rsidRDefault="00391536">
      <w:pPr>
        <w:spacing w:after="1" w:line="240" w:lineRule="atLeast"/>
        <w:jc w:val="center"/>
        <w:outlineLvl w:val="0"/>
      </w:pPr>
      <w:r>
        <w:rPr>
          <w:rFonts w:ascii="Times New Roman" w:hAnsi="Times New Roman" w:cs="Times New Roman"/>
          <w:b/>
          <w:sz w:val="24"/>
        </w:rPr>
        <w:t>МИНИСТЕРСТВО ТРУДА И СОЦИАЛЬНОЙ ЗАЩИТЫ РОССИЙСКОЙ ФЕДЕРАЦИИ</w:t>
      </w: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РОССИЙСКОЙ ФЕДЕРАЦИИ</w:t>
      </w:r>
    </w:p>
    <w:p w:rsidR="00391536" w:rsidRDefault="00391536">
      <w:pPr>
        <w:spacing w:after="1" w:line="240" w:lineRule="atLeast"/>
        <w:jc w:val="center"/>
      </w:pP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ПИСЬМО</w:t>
      </w: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от 28 декабря 2017 г. N 18-2/10/В-10452</w:t>
      </w:r>
    </w:p>
    <w:p w:rsidR="00391536" w:rsidRDefault="00391536">
      <w:pPr>
        <w:spacing w:after="1" w:line="240" w:lineRule="atLeast"/>
        <w:jc w:val="center"/>
      </w:pP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 МЕТОДИЧЕСКИХ РЕКОМЕНДАЦИЯХ</w:t>
      </w: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ПО ВОПРОСАМ ПРЕДСТАВЛЕНИЯ СВЕДЕНИЙ О ДОХОДАХ, РАСХОДАХ,</w:t>
      </w: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ОБ ИМУЩЕСТВЕ И ОБЯЗАТЕЛЬСТВАХ ИМУЩЕСТВЕННОГО ХАРАКТЕРА</w:t>
      </w: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И ЗАПОЛНЕНИЯ СООТВЕТСТВУЮЩЕЙ ФОРМЫ СПРАВКИ</w:t>
      </w:r>
    </w:p>
    <w:p w:rsidR="00391536" w:rsidRDefault="00391536">
      <w:pPr>
        <w:spacing w:after="1" w:line="240" w:lineRule="atLeast"/>
        <w:ind w:firstLine="540"/>
        <w:jc w:val="both"/>
      </w:pPr>
    </w:p>
    <w:p w:rsidR="00391536" w:rsidRDefault="00391536">
      <w:pPr>
        <w:spacing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Министерство труда и социальной защиты Российской Федерации в рамках оказания методической помощи в реализации требований федеральных законов, нормативных правовых актов Президента Российской Федерации и Правительства Российской Федерации о противодействии коррупции направляет обновленные Методические </w:t>
      </w:r>
      <w:hyperlink r:id="rId5" w:history="1">
        <w:r>
          <w:rPr>
            <w:rFonts w:ascii="Times New Roman" w:hAnsi="Times New Roman" w:cs="Times New Roman"/>
            <w:color w:val="0000FF"/>
            <w:sz w:val="24"/>
          </w:rPr>
          <w:t>рекомендации</w:t>
        </w:r>
      </w:hyperlink>
      <w:r>
        <w:rPr>
          <w:rFonts w:ascii="Times New Roman" w:hAnsi="Times New Roman" w:cs="Times New Roman"/>
          <w:sz w:val="24"/>
        </w:rPr>
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для использования в ходе декларационной кампании 2018 года</w:t>
      </w:r>
      <w:proofErr w:type="gramEnd"/>
      <w:r>
        <w:rPr>
          <w:rFonts w:ascii="Times New Roman" w:hAnsi="Times New Roman" w:cs="Times New Roman"/>
          <w:sz w:val="24"/>
        </w:rPr>
        <w:t xml:space="preserve"> (за отчетный 2017 год).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Методические </w:t>
      </w:r>
      <w:hyperlink r:id="rId6" w:history="1">
        <w:r>
          <w:rPr>
            <w:rFonts w:ascii="Times New Roman" w:hAnsi="Times New Roman" w:cs="Times New Roman"/>
            <w:color w:val="0000FF"/>
            <w:sz w:val="24"/>
          </w:rPr>
          <w:t>рекомендации</w:t>
        </w:r>
      </w:hyperlink>
      <w:r>
        <w:rPr>
          <w:rFonts w:ascii="Times New Roman" w:hAnsi="Times New Roman" w:cs="Times New Roman"/>
          <w:sz w:val="24"/>
        </w:rPr>
        <w:t xml:space="preserve"> размещены на официальном сайте Минтруда России в подразделе "Представление сведений о доходах, расходах, об имуществе и обязательствах имущественного характера" раздела "Деятельность/Политика в сфере противодействия коррупции/Методические материалы по вопросам противодействия коррупции" и по ссылке: http://rosmintrud.ru/ministry/programms/anticorruption/9/5.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Дополнительно направляем основные </w:t>
      </w:r>
      <w:hyperlink w:anchor="P26" w:history="1">
        <w:r>
          <w:rPr>
            <w:rFonts w:ascii="Times New Roman" w:hAnsi="Times New Roman" w:cs="Times New Roman"/>
            <w:color w:val="0000FF"/>
            <w:sz w:val="24"/>
          </w:rPr>
          <w:t>новеллы</w:t>
        </w:r>
      </w:hyperlink>
      <w:r>
        <w:rPr>
          <w:rFonts w:ascii="Times New Roman" w:hAnsi="Times New Roman" w:cs="Times New Roman"/>
          <w:sz w:val="24"/>
        </w:rPr>
        <w:t xml:space="preserve"> в Методических рекомендациях, на которые следует обратить внимание при их использовании (прилагаются).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Обращаем внимание, что Методические </w:t>
      </w:r>
      <w:hyperlink r:id="rId7" w:history="1">
        <w:r>
          <w:rPr>
            <w:rFonts w:ascii="Times New Roman" w:hAnsi="Times New Roman" w:cs="Times New Roman"/>
            <w:color w:val="0000FF"/>
            <w:sz w:val="24"/>
          </w:rPr>
          <w:t>рекомендации</w:t>
        </w:r>
      </w:hyperlink>
      <w:r>
        <w:rPr>
          <w:rFonts w:ascii="Times New Roman" w:hAnsi="Times New Roman" w:cs="Times New Roman"/>
          <w:sz w:val="24"/>
        </w:rPr>
        <w:t>, направленные письмом Минтруда России от 26 декабря 2016 г. N 18-2/10/В-9843, подлежали использованию только в отношении сведений, представляемых в ходе декларационной кампании 2017 года.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Просим довести данную информацию до сведения территориальных органов и лиц, замещающих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391536" w:rsidRDefault="00391536">
      <w:pPr>
        <w:spacing w:after="1" w:line="240" w:lineRule="atLeast"/>
        <w:jc w:val="center"/>
      </w:pPr>
    </w:p>
    <w:p w:rsidR="00391536" w:rsidRDefault="00391536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А.А.ЧЕРКАСОВ</w:t>
      </w: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right"/>
      </w:pPr>
      <w:bookmarkStart w:id="0" w:name="_GoBack"/>
      <w:bookmarkEnd w:id="0"/>
    </w:p>
    <w:p w:rsidR="00391536" w:rsidRDefault="00391536">
      <w:pPr>
        <w:spacing w:after="1" w:line="240" w:lineRule="atLeast"/>
        <w:jc w:val="right"/>
        <w:outlineLvl w:val="0"/>
      </w:pPr>
      <w:r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391536" w:rsidRDefault="00391536">
      <w:pPr>
        <w:spacing w:after="1" w:line="240" w:lineRule="atLeast"/>
        <w:jc w:val="right"/>
      </w:pPr>
    </w:p>
    <w:p w:rsidR="00391536" w:rsidRDefault="00391536">
      <w:pPr>
        <w:spacing w:after="1" w:line="240" w:lineRule="atLeast"/>
        <w:jc w:val="center"/>
      </w:pPr>
      <w:bookmarkStart w:id="1" w:name="P26"/>
      <w:bookmarkEnd w:id="1"/>
      <w:r>
        <w:rPr>
          <w:rFonts w:ascii="Times New Roman" w:hAnsi="Times New Roman" w:cs="Times New Roman"/>
          <w:b/>
          <w:sz w:val="24"/>
        </w:rPr>
        <w:t>ОСНОВНЫЕ НОВЕЛЛЫ</w:t>
      </w: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В МЕТОДИЧЕСКИХ РЕКОМЕНДАЦИЯХ ПО ВОПРОСАМ ПРЕДСТАВЛЕНИЯ</w:t>
      </w: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СВЕДЕНИЙ О ДОХОДАХ, РАСХОДАХ, ОБ ИМУЩЕСТВЕ И ОБЯЗАТЕЛЬСТВАХ</w:t>
      </w:r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ИМУЩЕСТВЕННОГО ХАРАКТЕРА И ЗАПОЛНЕНИЯ </w:t>
      </w:r>
      <w:proofErr w:type="gramStart"/>
      <w:r>
        <w:rPr>
          <w:rFonts w:ascii="Times New Roman" w:hAnsi="Times New Roman" w:cs="Times New Roman"/>
          <w:b/>
          <w:sz w:val="24"/>
        </w:rPr>
        <w:t>СООТВЕТСТВУЮЩЕЙ</w:t>
      </w:r>
      <w:proofErr w:type="gramEnd"/>
    </w:p>
    <w:p w:rsidR="00391536" w:rsidRDefault="0039153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ФОРМЫ СПРАВКИ В 2018 ГОДУ (ЗА ОТЧЕТНЫЙ 2017 ГОД)</w:t>
      </w:r>
    </w:p>
    <w:p w:rsidR="00391536" w:rsidRDefault="00391536">
      <w:pPr>
        <w:spacing w:after="1" w:line="240" w:lineRule="atLeast"/>
        <w:jc w:val="center"/>
      </w:pPr>
    </w:p>
    <w:p w:rsidR="00391536" w:rsidRDefault="00391536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В течение последних лет является устоявшейся практика подготовки Министерством труда и социальной защиты Российской </w:t>
      </w:r>
      <w:proofErr w:type="gramStart"/>
      <w:r>
        <w:rPr>
          <w:rFonts w:ascii="Times New Roman" w:hAnsi="Times New Roman" w:cs="Times New Roman"/>
          <w:sz w:val="24"/>
        </w:rPr>
        <w:t>Федерации</w:t>
      </w:r>
      <w:proofErr w:type="gramEnd"/>
      <w:r>
        <w:rPr>
          <w:rFonts w:ascii="Times New Roman" w:hAnsi="Times New Roman" w:cs="Times New Roman"/>
          <w:sz w:val="24"/>
        </w:rPr>
        <w:t xml:space="preserve"> ежегодно обновляемых Методических </w:t>
      </w:r>
      <w:hyperlink r:id="rId8" w:history="1">
        <w:r>
          <w:rPr>
            <w:rFonts w:ascii="Times New Roman" w:hAnsi="Times New Roman" w:cs="Times New Roman"/>
            <w:color w:val="0000FF"/>
            <w:sz w:val="24"/>
          </w:rPr>
          <w:t>рекомендаций</w:t>
        </w:r>
      </w:hyperlink>
      <w:r>
        <w:rPr>
          <w:rFonts w:ascii="Times New Roman" w:hAnsi="Times New Roman" w:cs="Times New Roman"/>
          <w:sz w:val="24"/>
        </w:rPr>
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</w:t>
      </w:r>
      <w:hyperlink r:id="rId9" w:history="1">
        <w:r>
          <w:rPr>
            <w:rFonts w:ascii="Times New Roman" w:hAnsi="Times New Roman" w:cs="Times New Roman"/>
            <w:color w:val="0000FF"/>
            <w:sz w:val="24"/>
          </w:rPr>
          <w:t>формы</w:t>
        </w:r>
      </w:hyperlink>
      <w:r>
        <w:rPr>
          <w:rFonts w:ascii="Times New Roman" w:hAnsi="Times New Roman" w:cs="Times New Roman"/>
          <w:sz w:val="24"/>
        </w:rPr>
        <w:t xml:space="preserve"> справки, направления их в заинтересованные государственные органы и организации, а также размещения на официальном сайте Минтруда России.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Методические </w:t>
      </w:r>
      <w:hyperlink r:id="rId10" w:history="1">
        <w:r>
          <w:rPr>
            <w:rFonts w:ascii="Times New Roman" w:hAnsi="Times New Roman" w:cs="Times New Roman"/>
            <w:color w:val="0000FF"/>
            <w:sz w:val="24"/>
          </w:rPr>
          <w:t>рекомендации</w:t>
        </w:r>
      </w:hyperlink>
      <w:r>
        <w:rPr>
          <w:rFonts w:ascii="Times New Roman" w:hAnsi="Times New Roman" w:cs="Times New Roman"/>
          <w:sz w:val="24"/>
        </w:rPr>
        <w:t xml:space="preserve"> для применения в ходе декларационной кампании 2018 года (за отчетный 2017 год) подготовлены Министерством при участии Администрации Президента Российской Федерации и Генеральной прокуратуры Российской Федерации.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В ходе использования в работе Методических </w:t>
      </w:r>
      <w:hyperlink r:id="rId11" w:history="1">
        <w:r>
          <w:rPr>
            <w:rFonts w:ascii="Times New Roman" w:hAnsi="Times New Roman" w:cs="Times New Roman"/>
            <w:color w:val="0000FF"/>
            <w:sz w:val="24"/>
          </w:rPr>
          <w:t>рекомендаций</w:t>
        </w:r>
      </w:hyperlink>
      <w:r>
        <w:rPr>
          <w:rFonts w:ascii="Times New Roman" w:hAnsi="Times New Roman" w:cs="Times New Roman"/>
          <w:sz w:val="24"/>
        </w:rPr>
        <w:t xml:space="preserve"> предлагаем обратить внимание на следующее.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Указано на возможность представления сведений в отношении несовершеннолетнего ребенка в случае, если лицо, представляющее сведения, является опекуном (попечителем) или его супруга (супруг) является опекуном (попечителем), усыновителем такого несовершеннолетнего ребенка.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В </w:t>
      </w:r>
      <w:hyperlink r:id="rId12" w:history="1">
        <w:r>
          <w:rPr>
            <w:rFonts w:ascii="Times New Roman" w:hAnsi="Times New Roman" w:cs="Times New Roman"/>
            <w:color w:val="0000FF"/>
            <w:sz w:val="24"/>
          </w:rPr>
          <w:t>подпункте 1 пункта 35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изменен подход заполнения титульного листа справки: фамилия, имя и отчество указываются в именительном падеже.</w:t>
      </w:r>
    </w:p>
    <w:p w:rsidR="00391536" w:rsidRDefault="00391536">
      <w:pPr>
        <w:spacing w:before="240" w:after="1" w:line="240" w:lineRule="atLeast"/>
        <w:ind w:firstLine="540"/>
        <w:jc w:val="both"/>
      </w:pPr>
      <w:hyperlink r:id="rId13" w:history="1">
        <w:r>
          <w:rPr>
            <w:rFonts w:ascii="Times New Roman" w:hAnsi="Times New Roman" w:cs="Times New Roman"/>
            <w:color w:val="0000FF"/>
            <w:sz w:val="24"/>
          </w:rPr>
          <w:t>Подпункт 3 пункта 35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дополнен положениями при представлении сведений в отношении отдельных категорий лиц.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Уточнен подход к определению понятия "доход" в рамках антикоррупционного законодательства Российской Федерации.</w:t>
      </w:r>
    </w:p>
    <w:p w:rsidR="00391536" w:rsidRDefault="00391536">
      <w:pPr>
        <w:spacing w:before="240" w:after="1" w:line="240" w:lineRule="atLeast"/>
        <w:ind w:firstLine="540"/>
        <w:jc w:val="both"/>
      </w:pPr>
      <w:hyperlink r:id="rId14" w:history="1">
        <w:r>
          <w:rPr>
            <w:rFonts w:ascii="Times New Roman" w:hAnsi="Times New Roman" w:cs="Times New Roman"/>
            <w:color w:val="0000FF"/>
            <w:sz w:val="24"/>
          </w:rPr>
          <w:t>Пункт 41</w:t>
        </w:r>
      </w:hyperlink>
      <w:r>
        <w:rPr>
          <w:rFonts w:ascii="Times New Roman" w:hAnsi="Times New Roman" w:cs="Times New Roman"/>
          <w:sz w:val="24"/>
        </w:rPr>
        <w:t xml:space="preserve"> предусматривает определение понятия "доход" в отношении лица, являющегося нотариусом, занимающимся частной практикой.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Также в </w:t>
      </w:r>
      <w:hyperlink r:id="rId15" w:history="1">
        <w:r>
          <w:rPr>
            <w:rFonts w:ascii="Times New Roman" w:hAnsi="Times New Roman" w:cs="Times New Roman"/>
            <w:color w:val="0000FF"/>
            <w:sz w:val="24"/>
          </w:rPr>
          <w:t>пункте 53</w:t>
        </w:r>
      </w:hyperlink>
      <w:r>
        <w:rPr>
          <w:rFonts w:ascii="Times New Roman" w:hAnsi="Times New Roman" w:cs="Times New Roman"/>
          <w:sz w:val="24"/>
        </w:rPr>
        <w:t xml:space="preserve"> указано, что денежные средства, выплачиваемые кредитной организацией вкладчику (владельцу счета) при закрытии вклада (счета), в том числе обезличенного металлического счета, за исключением процентов по вкладу (счету), не подлежат отражению.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Методические </w:t>
      </w:r>
      <w:hyperlink r:id="rId16" w:history="1">
        <w:r>
          <w:rPr>
            <w:rFonts w:ascii="Times New Roman" w:hAnsi="Times New Roman" w:cs="Times New Roman"/>
            <w:color w:val="0000FF"/>
            <w:sz w:val="24"/>
          </w:rPr>
          <w:t>рекомендации</w:t>
        </w:r>
      </w:hyperlink>
      <w:r>
        <w:rPr>
          <w:rFonts w:ascii="Times New Roman" w:hAnsi="Times New Roman" w:cs="Times New Roman"/>
          <w:sz w:val="24"/>
        </w:rPr>
        <w:t xml:space="preserve"> дополнены случаями, при которых подлежит заполнению </w:t>
      </w:r>
      <w:hyperlink r:id="rId17" w:history="1">
        <w:r>
          <w:rPr>
            <w:rFonts w:ascii="Times New Roman" w:hAnsi="Times New Roman" w:cs="Times New Roman"/>
            <w:color w:val="0000FF"/>
            <w:sz w:val="24"/>
          </w:rPr>
          <w:t>строка 6</w:t>
        </w:r>
      </w:hyperlink>
      <w:r>
        <w:rPr>
          <w:rFonts w:ascii="Times New Roman" w:hAnsi="Times New Roman" w:cs="Times New Roman"/>
          <w:sz w:val="24"/>
        </w:rPr>
        <w:t xml:space="preserve"> "Иные доходы" раздела 1 справки, а также случаями, при которых отражение денежных сре</w:t>
      </w:r>
      <w:proofErr w:type="gramStart"/>
      <w:r>
        <w:rPr>
          <w:rFonts w:ascii="Times New Roman" w:hAnsi="Times New Roman" w:cs="Times New Roman"/>
          <w:sz w:val="24"/>
        </w:rPr>
        <w:t>дств в спр</w:t>
      </w:r>
      <w:proofErr w:type="gramEnd"/>
      <w:r>
        <w:rPr>
          <w:rFonts w:ascii="Times New Roman" w:hAnsi="Times New Roman" w:cs="Times New Roman"/>
          <w:sz w:val="24"/>
        </w:rPr>
        <w:t>авке не требуется.</w:t>
      </w:r>
    </w:p>
    <w:p w:rsidR="00391536" w:rsidRDefault="00391536">
      <w:pPr>
        <w:spacing w:before="240" w:after="1" w:line="240" w:lineRule="atLeast"/>
        <w:ind w:firstLine="540"/>
        <w:jc w:val="both"/>
      </w:pPr>
      <w:hyperlink r:id="rId18" w:history="1">
        <w:r>
          <w:rPr>
            <w:rFonts w:ascii="Times New Roman" w:hAnsi="Times New Roman" w:cs="Times New Roman"/>
            <w:color w:val="0000FF"/>
            <w:sz w:val="24"/>
          </w:rPr>
          <w:t>Пунктом 62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предусмотрен порядок расчета общего дохода в целях представления сведений о расходах.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Отдельно в </w:t>
      </w:r>
      <w:hyperlink r:id="rId19" w:history="1">
        <w:r>
          <w:rPr>
            <w:rFonts w:ascii="Times New Roman" w:hAnsi="Times New Roman" w:cs="Times New Roman"/>
            <w:color w:val="0000FF"/>
            <w:sz w:val="24"/>
          </w:rPr>
          <w:t>пункте 85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отмечено, что в рамках антикоррупционного законодательства совместным признается имущество, соответствующая информация о котором отражена в правоустанавливающих документах.</w:t>
      </w:r>
    </w:p>
    <w:p w:rsidR="00391536" w:rsidRDefault="00391536">
      <w:pPr>
        <w:spacing w:before="240" w:after="1" w:line="240" w:lineRule="atLeast"/>
        <w:ind w:firstLine="540"/>
        <w:jc w:val="both"/>
      </w:pPr>
      <w:hyperlink r:id="rId20" w:history="1">
        <w:r>
          <w:rPr>
            <w:rFonts w:ascii="Times New Roman" w:hAnsi="Times New Roman" w:cs="Times New Roman"/>
            <w:color w:val="0000FF"/>
            <w:sz w:val="24"/>
          </w:rPr>
          <w:t>Пунктом 102</w:t>
        </w:r>
      </w:hyperlink>
      <w:r>
        <w:rPr>
          <w:rFonts w:ascii="Times New Roman" w:hAnsi="Times New Roman" w:cs="Times New Roman"/>
          <w:sz w:val="24"/>
        </w:rPr>
        <w:t xml:space="preserve"> предусмотрено, что в </w:t>
      </w:r>
      <w:hyperlink r:id="rId21" w:history="1">
        <w:r>
          <w:rPr>
            <w:rFonts w:ascii="Times New Roman" w:hAnsi="Times New Roman" w:cs="Times New Roman"/>
            <w:color w:val="0000FF"/>
            <w:sz w:val="24"/>
          </w:rPr>
          <w:t>графе</w:t>
        </w:r>
      </w:hyperlink>
      <w:r>
        <w:rPr>
          <w:rFonts w:ascii="Times New Roman" w:hAnsi="Times New Roman" w:cs="Times New Roman"/>
          <w:sz w:val="24"/>
        </w:rPr>
        <w:t xml:space="preserve"> "Наименование и адрес банка или иной кредитной организации" раздела 4 справки рекомендуется указывать юридический адрес отделения банка или иной кредитной организации, в котором был открыт соответствующий счет.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Отдельно в </w:t>
      </w:r>
      <w:hyperlink r:id="rId22" w:history="1">
        <w:r>
          <w:rPr>
            <w:rFonts w:ascii="Times New Roman" w:hAnsi="Times New Roman" w:cs="Times New Roman"/>
            <w:color w:val="0000FF"/>
            <w:sz w:val="24"/>
          </w:rPr>
          <w:t>пункте 114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отмечено, что вклады "Классический", "Выгодный", "Комфортный" и др., как правило, являются депозитными счетами.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В </w:t>
      </w:r>
      <w:hyperlink r:id="rId23" w:history="1">
        <w:r>
          <w:rPr>
            <w:rFonts w:ascii="Times New Roman" w:hAnsi="Times New Roman" w:cs="Times New Roman"/>
            <w:color w:val="0000FF"/>
            <w:sz w:val="24"/>
          </w:rPr>
          <w:t>пункте 116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указан порядок отражения счетов, открываемых депозитариями.</w:t>
      </w:r>
    </w:p>
    <w:p w:rsidR="00391536" w:rsidRDefault="00391536">
      <w:pPr>
        <w:spacing w:before="240" w:after="1" w:line="240" w:lineRule="atLeast"/>
        <w:ind w:firstLine="540"/>
        <w:jc w:val="both"/>
      </w:pPr>
      <w:hyperlink r:id="rId24" w:history="1">
        <w:r>
          <w:rPr>
            <w:rFonts w:ascii="Times New Roman" w:hAnsi="Times New Roman" w:cs="Times New Roman"/>
            <w:color w:val="0000FF"/>
            <w:sz w:val="24"/>
          </w:rPr>
          <w:t>Пунктами 124</w:t>
        </w:r>
      </w:hyperlink>
      <w:r>
        <w:rPr>
          <w:rFonts w:ascii="Times New Roman" w:hAnsi="Times New Roman" w:cs="Times New Roman"/>
          <w:sz w:val="24"/>
        </w:rPr>
        <w:t xml:space="preserve"> - </w:t>
      </w:r>
      <w:hyperlink r:id="rId25" w:history="1">
        <w:r>
          <w:rPr>
            <w:rFonts w:ascii="Times New Roman" w:hAnsi="Times New Roman" w:cs="Times New Roman"/>
            <w:color w:val="0000FF"/>
            <w:sz w:val="24"/>
          </w:rPr>
          <w:t>126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предусмотрен порядок действий в случае отзыва лицензии у кредитной организации.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В </w:t>
      </w:r>
      <w:hyperlink r:id="rId26" w:history="1">
        <w:r>
          <w:rPr>
            <w:rFonts w:ascii="Times New Roman" w:hAnsi="Times New Roman" w:cs="Times New Roman"/>
            <w:color w:val="0000FF"/>
            <w:sz w:val="24"/>
          </w:rPr>
          <w:t>пункте 138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уточнен порядок представления сведений об объектах незавершенного строительства, а также об имуществе, по адресу которого имеется регистрация.</w:t>
      </w:r>
    </w:p>
    <w:p w:rsidR="00391536" w:rsidRDefault="00391536">
      <w:pPr>
        <w:spacing w:before="240" w:after="1" w:line="240" w:lineRule="atLeast"/>
        <w:ind w:firstLine="540"/>
        <w:jc w:val="both"/>
      </w:pPr>
      <w:hyperlink r:id="rId27" w:history="1">
        <w:r>
          <w:rPr>
            <w:rFonts w:ascii="Times New Roman" w:hAnsi="Times New Roman" w:cs="Times New Roman"/>
            <w:color w:val="0000FF"/>
            <w:sz w:val="24"/>
          </w:rPr>
          <w:t>Пункт 143</w:t>
        </w:r>
      </w:hyperlink>
      <w:r>
        <w:rPr>
          <w:rFonts w:ascii="Times New Roman" w:hAnsi="Times New Roman" w:cs="Times New Roman"/>
          <w:sz w:val="24"/>
        </w:rPr>
        <w:t xml:space="preserve"> Методических рекомендаций дополнен положениями, согласно которым рекомендуется указывать фамилию, имя и отчество лица, предоставившего объект недвижимого имущества в пользование.</w:t>
      </w:r>
    </w:p>
    <w:p w:rsidR="00391536" w:rsidRDefault="0039153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Положения Методических </w:t>
      </w:r>
      <w:hyperlink r:id="rId28" w:history="1">
        <w:r>
          <w:rPr>
            <w:rFonts w:ascii="Times New Roman" w:hAnsi="Times New Roman" w:cs="Times New Roman"/>
            <w:color w:val="0000FF"/>
            <w:sz w:val="24"/>
          </w:rPr>
          <w:t>рекомендаций</w:t>
        </w:r>
      </w:hyperlink>
      <w:r>
        <w:rPr>
          <w:rFonts w:ascii="Times New Roman" w:hAnsi="Times New Roman" w:cs="Times New Roman"/>
          <w:sz w:val="24"/>
        </w:rPr>
        <w:t xml:space="preserve"> предусматривают порядок представления сведений о недвижимом имуществе, транспортных средствах и ценных бумагах, отчужденных в течение отчетного периода в результате безвозмездной сделки.</w:t>
      </w:r>
    </w:p>
    <w:p w:rsidR="00391536" w:rsidRDefault="00391536">
      <w:pPr>
        <w:spacing w:after="1" w:line="240" w:lineRule="atLeast"/>
        <w:ind w:firstLine="540"/>
        <w:jc w:val="both"/>
      </w:pPr>
    </w:p>
    <w:p w:rsidR="00391536" w:rsidRDefault="00391536">
      <w:pPr>
        <w:spacing w:after="1" w:line="240" w:lineRule="atLeast"/>
        <w:ind w:firstLine="540"/>
        <w:jc w:val="both"/>
      </w:pPr>
    </w:p>
    <w:p w:rsidR="00391536" w:rsidRDefault="00391536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C1BD3" w:rsidRPr="00391536" w:rsidRDefault="003C1BD3" w:rsidP="00391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1BD3" w:rsidRPr="00391536" w:rsidSect="00E6171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26"/>
    <w:rsid w:val="00391536"/>
    <w:rsid w:val="003C1BD3"/>
    <w:rsid w:val="0092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0C0B2E311A47EEE2377809E08417CE48F096344C8439C5CD71C66C17BBE16B77404D32B747529335463615E3x2j5E" TargetMode="External"/><Relationship Id="rId13" Type="http://schemas.openxmlformats.org/officeDocument/2006/relationships/hyperlink" Target="consultantplus://offline/ref=A80C0B2E311A47EEE2377809E08417CE48F096344C8439C5CD71C66C17BBE16B6540153EB7424D913E536044A678FEBC9C6405F78492BC89x5jAE" TargetMode="External"/><Relationship Id="rId18" Type="http://schemas.openxmlformats.org/officeDocument/2006/relationships/hyperlink" Target="consultantplus://offline/ref=A80C0B2E311A47EEE2377809E08417CE48F096344C8439C5CD71C66C17BBE16B6540153EB7424E963F536044A678FEBC9C6405F78492BC89x5jAE" TargetMode="External"/><Relationship Id="rId26" Type="http://schemas.openxmlformats.org/officeDocument/2006/relationships/hyperlink" Target="consultantplus://offline/ref=A80C0B2E311A47EEE2377809E08417CE48F096344C8439C5CD71C66C17BBE16B6540153EB742489235536044A678FEBC9C6405F78492BC89x5j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80C0B2E311A47EEE2377809E08417CE48FF99344C8639C5CD71C66C17BBE16B6540153EB7424D9530536044A678FEBC9C6405F78492BC89x5jAE" TargetMode="External"/><Relationship Id="rId7" Type="http://schemas.openxmlformats.org/officeDocument/2006/relationships/hyperlink" Target="consultantplus://offline/ref=A80C0B2E311A47EEE2377809E08417CE48F899354F8B39C5CD71C66C17BBE16B6540153EB7424C9231536044A678FEBC9C6405F78492BC89x5jAE" TargetMode="External"/><Relationship Id="rId12" Type="http://schemas.openxmlformats.org/officeDocument/2006/relationships/hyperlink" Target="consultantplus://offline/ref=A80C0B2E311A47EEE2377809E08417CE48F096344C8439C5CD71C66C17BBE16B6540153EB7424D9130536044A678FEBC9C6405F78492BC89x5jAE" TargetMode="External"/><Relationship Id="rId17" Type="http://schemas.openxmlformats.org/officeDocument/2006/relationships/hyperlink" Target="consultantplus://offline/ref=A80C0B2E311A47EEE2377809E08417CE48FF99344C8639C5CD71C66C17BBE16B6540153EB7424C9431536044A678FEBC9C6405F78492BC89x5jAE" TargetMode="External"/><Relationship Id="rId25" Type="http://schemas.openxmlformats.org/officeDocument/2006/relationships/hyperlink" Target="consultantplus://offline/ref=A80C0B2E311A47EEE2377809E08417CE48F096344C8439C5CD71C66C17BBE16B6540153EB7424F9A36536044A678FEBC9C6405F78492BC89x5jA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80C0B2E311A47EEE2377809E08417CE48F096344C8439C5CD71C66C17BBE16B77404D32B747529335463615E3x2j5E" TargetMode="External"/><Relationship Id="rId20" Type="http://schemas.openxmlformats.org/officeDocument/2006/relationships/hyperlink" Target="consultantplus://offline/ref=A80C0B2E311A47EEE2377809E08417CE48F096344C8439C5CD71C66C17BBE16B6540153EB7424F9130536044A678FEBC9C6405F78492BC89x5jAE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0C0B2E311A47EEE2377809E08417CE48F096344C8439C5CD71C66C17BBE16B77404D32B747529335463615E3x2j5E" TargetMode="External"/><Relationship Id="rId11" Type="http://schemas.openxmlformats.org/officeDocument/2006/relationships/hyperlink" Target="consultantplus://offline/ref=A80C0B2E311A47EEE2377809E08417CE48F096344C8439C5CD71C66C17BBE16B77404D32B747529335463615E3x2j5E" TargetMode="External"/><Relationship Id="rId24" Type="http://schemas.openxmlformats.org/officeDocument/2006/relationships/hyperlink" Target="consultantplus://offline/ref=A80C0B2E311A47EEE2377809E08417CE48F096344C8439C5CD71C66C17BBE16B6540153EB7424F953E536044A678FEBC9C6405F78492BC89x5jAE" TargetMode="External"/><Relationship Id="rId5" Type="http://schemas.openxmlformats.org/officeDocument/2006/relationships/hyperlink" Target="consultantplus://offline/ref=A80C0B2E311A47EEE2377809E08417CE48F096344C8439C5CD71C66C17BBE16B77404D32B747529335463615E3x2j5E" TargetMode="External"/><Relationship Id="rId15" Type="http://schemas.openxmlformats.org/officeDocument/2006/relationships/hyperlink" Target="consultantplus://offline/ref=A80C0B2E311A47EEE2377809E08417CE48F096344C8439C5CD71C66C17BBE16B6540153EB7424D9530536044A678FEBC9C6405F78492BC89x5jAE" TargetMode="External"/><Relationship Id="rId23" Type="http://schemas.openxmlformats.org/officeDocument/2006/relationships/hyperlink" Target="consultantplus://offline/ref=A80C0B2E311A47EEE2377809E08417CE48F096344C8439C5CD71C66C17BBE16B6540153EB7424F9431536044A678FEBC9C6405F78492BC89x5jAE" TargetMode="External"/><Relationship Id="rId28" Type="http://schemas.openxmlformats.org/officeDocument/2006/relationships/hyperlink" Target="consultantplus://offline/ref=A80C0B2E311A47EEE2377809E08417CE48F096344C8439C5CD71C66C17BBE16B77404D32B747529335463615E3x2j5E" TargetMode="External"/><Relationship Id="rId10" Type="http://schemas.openxmlformats.org/officeDocument/2006/relationships/hyperlink" Target="consultantplus://offline/ref=A80C0B2E311A47EEE2377809E08417CE48F096344C8439C5CD71C66C17BBE16B77404D32B747529335463615E3x2j5E" TargetMode="External"/><Relationship Id="rId19" Type="http://schemas.openxmlformats.org/officeDocument/2006/relationships/hyperlink" Target="consultantplus://offline/ref=A80C0B2E311A47EEE2377809E08417CE48F096344C8439C5CD71C66C17BBE16B6540153EB7424E9A30536044A678FEBC9C6405F78492BC89x5j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0C0B2E311A47EEE2377809E08417CE48FF99344C8639C5CD71C66C17BBE16B6540153EB7424C9632536044A678FEBC9C6405F78492BC89x5jAE" TargetMode="External"/><Relationship Id="rId14" Type="http://schemas.openxmlformats.org/officeDocument/2006/relationships/hyperlink" Target="consultantplus://offline/ref=A80C0B2E311A47EEE2377809E08417CE48F096344C8439C5CD71C66C17BBE16B6540153EB7424D9436536044A678FEBC9C6405F78492BC89x5jAE" TargetMode="External"/><Relationship Id="rId22" Type="http://schemas.openxmlformats.org/officeDocument/2006/relationships/hyperlink" Target="consultantplus://offline/ref=A80C0B2E311A47EEE2377809E08417CE48F096344C8439C5CD71C66C17BBE16B6540153EB7424F9736536044A678FEBC9C6405F78492BC89x5jAE" TargetMode="External"/><Relationship Id="rId27" Type="http://schemas.openxmlformats.org/officeDocument/2006/relationships/hyperlink" Target="consultantplus://offline/ref=A80C0B2E311A47EEE2377809E08417CE48F096344C8439C5CD71C66C17BBE16B6540153EB742489334536044A678FEBC9C6405F78492BC89x5jA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1451</Words>
  <Characters>8277</Characters>
  <Application>Microsoft Office Word</Application>
  <DocSecurity>0</DocSecurity>
  <Lines>68</Lines>
  <Paragraphs>19</Paragraphs>
  <ScaleCrop>false</ScaleCrop>
  <Company/>
  <LinksUpToDate>false</LinksUpToDate>
  <CharactersWithSpaces>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Безбородов</dc:creator>
  <cp:keywords/>
  <dc:description/>
  <cp:lastModifiedBy>Безбородов</cp:lastModifiedBy>
  <cp:revision>2</cp:revision>
  <dcterms:created xsi:type="dcterms:W3CDTF">2018-12-05T04:34:00Z</dcterms:created>
  <dcterms:modified xsi:type="dcterms:W3CDTF">2018-12-05T04:36:00Z</dcterms:modified>
</cp:coreProperties>
</file>